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23" w:rsidRPr="005F2623" w:rsidRDefault="005F2623" w:rsidP="005F2623">
      <w:pPr>
        <w:widowControl/>
        <w:spacing w:after="200"/>
        <w:rPr>
          <w:rFonts w:ascii="Times New Roman" w:eastAsia="Calibri" w:hAnsi="Times New Roman"/>
          <w:b/>
          <w:snapToGrid/>
          <w:sz w:val="30"/>
          <w:szCs w:val="30"/>
        </w:rPr>
      </w:pPr>
      <w:r w:rsidRPr="005F2623">
        <w:rPr>
          <w:rFonts w:ascii="Times New Roman" w:eastAsia="Calibri" w:hAnsi="Times New Roman"/>
          <w:b/>
          <w:snapToGrid/>
          <w:sz w:val="28"/>
          <w:szCs w:val="28"/>
        </w:rPr>
        <w:t>Internal Revenue Service (IRS) Limits on Deferred Compensation Plans</w:t>
      </w:r>
      <w:r w:rsidRPr="005F2623">
        <w:rPr>
          <w:rFonts w:ascii="Times New Roman" w:eastAsia="Calibri" w:hAnsi="Times New Roman"/>
          <w:snapToGrid/>
          <w:sz w:val="28"/>
          <w:szCs w:val="28"/>
        </w:rPr>
        <w:br/>
      </w:r>
      <w:r w:rsidRPr="005F2623">
        <w:rPr>
          <w:rFonts w:ascii="Times New Roman" w:eastAsia="Calibri" w:hAnsi="Times New Roman"/>
          <w:snapToGrid/>
          <w:sz w:val="22"/>
          <w:szCs w:val="22"/>
        </w:rPr>
        <w:br/>
        <w:t xml:space="preserve">The University of Tennessee offers employees eligible to participate in retirement, the benefit of deferred compensation plans that allows them to supplement pension and social security in retirement and provides current tax reduction benefits. </w:t>
      </w:r>
      <w:r w:rsidRPr="005F2623">
        <w:rPr>
          <w:rFonts w:ascii="Times New Roman" w:eastAsia="Calibri" w:hAnsi="Times New Roman"/>
          <w:snapToGrid/>
          <w:sz w:val="22"/>
          <w:szCs w:val="22"/>
          <w:lang w:val="en"/>
        </w:rPr>
        <w:t xml:space="preserve">Under current tax law these employees are permitted to set aside a portion of their gross income and defer paying taxes on that income and any interest it earns until such time as they actually receive the funds (generally upon retirement). </w:t>
      </w:r>
      <w:r w:rsidRPr="005F2623">
        <w:rPr>
          <w:rFonts w:ascii="Times New Roman" w:eastAsia="Calibri" w:hAnsi="Times New Roman"/>
          <w:snapToGrid/>
          <w:sz w:val="22"/>
          <w:szCs w:val="22"/>
        </w:rPr>
        <w:t xml:space="preserve">Plans offered are 401k, 403b and 457. The 401(k) Roth is also offered, but contributions are from after-tax dollars. However, if an employee participates in both a 401(k) and/or a 401(k) Roth, the limit is the same as shown below under the </w:t>
      </w:r>
      <w:r w:rsidRPr="005F2623">
        <w:rPr>
          <w:rFonts w:ascii="Times New Roman" w:eastAsia="Calibri" w:hAnsi="Times New Roman"/>
          <w:b/>
          <w:snapToGrid/>
          <w:sz w:val="22"/>
          <w:szCs w:val="22"/>
        </w:rPr>
        <w:t>401(k)/403(b) Deferral Limit</w:t>
      </w:r>
      <w:r w:rsidRPr="005F2623">
        <w:rPr>
          <w:rFonts w:ascii="Times New Roman" w:eastAsia="Calibri" w:hAnsi="Times New Roman"/>
          <w:snapToGrid/>
          <w:sz w:val="22"/>
          <w:szCs w:val="22"/>
        </w:rPr>
        <w:t xml:space="preserve">. </w:t>
      </w:r>
      <w:r>
        <w:rPr>
          <w:rFonts w:ascii="Times New Roman" w:eastAsia="Calibri" w:hAnsi="Times New Roman"/>
          <w:snapToGrid/>
          <w:sz w:val="22"/>
          <w:szCs w:val="22"/>
        </w:rPr>
        <w:br/>
      </w:r>
      <w:r>
        <w:rPr>
          <w:rFonts w:ascii="Times New Roman" w:eastAsia="Calibri" w:hAnsi="Times New Roman"/>
          <w:snapToGrid/>
          <w:sz w:val="22"/>
          <w:szCs w:val="22"/>
        </w:rPr>
        <w:br/>
      </w:r>
      <w:r w:rsidRPr="005F2623">
        <w:rPr>
          <w:rFonts w:ascii="Times New Roman" w:eastAsia="Calibri" w:hAnsi="Times New Roman"/>
          <w:snapToGrid/>
          <w:sz w:val="22"/>
          <w:szCs w:val="22"/>
        </w:rPr>
        <w:t xml:space="preserve">Please contact Benefits and Retirement if you have any questions, </w:t>
      </w:r>
      <w:hyperlink r:id="rId6" w:history="1">
        <w:r w:rsidR="002B1D86" w:rsidRPr="001A0C85">
          <w:rPr>
            <w:rStyle w:val="Hyperlink"/>
            <w:rFonts w:ascii="Times New Roman" w:eastAsia="Calibri" w:hAnsi="Times New Roman"/>
            <w:snapToGrid/>
            <w:sz w:val="22"/>
            <w:szCs w:val="22"/>
          </w:rPr>
          <w:t>retirement@tennessee.edu</w:t>
        </w:r>
      </w:hyperlink>
      <w:r w:rsidRPr="005F2623">
        <w:rPr>
          <w:rFonts w:ascii="Times New Roman" w:eastAsia="Calibri" w:hAnsi="Times New Roman"/>
          <w:snapToGrid/>
          <w:sz w:val="22"/>
          <w:szCs w:val="22"/>
        </w:rPr>
        <w:br/>
        <w:t>or 888-444-8847 or your</w:t>
      </w:r>
      <w:r>
        <w:rPr>
          <w:rFonts w:ascii="Times New Roman" w:eastAsia="Calibri" w:hAnsi="Times New Roman"/>
          <w:snapToGrid/>
          <w:sz w:val="22"/>
          <w:szCs w:val="22"/>
        </w:rPr>
        <w:t xml:space="preserve"> local </w:t>
      </w:r>
      <w:r w:rsidR="00024771">
        <w:rPr>
          <w:rFonts w:ascii="Times New Roman" w:eastAsia="Calibri" w:hAnsi="Times New Roman"/>
          <w:snapToGrid/>
          <w:sz w:val="22"/>
          <w:szCs w:val="22"/>
        </w:rPr>
        <w:t>campus/institute office that handles deferred compensation</w:t>
      </w:r>
      <w:r>
        <w:rPr>
          <w:rFonts w:ascii="Times New Roman" w:eastAsia="Calibri" w:hAnsi="Times New Roman"/>
          <w:snapToGrid/>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1777"/>
      </w:tblGrid>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8"/>
                <w:szCs w:val="28"/>
              </w:rPr>
            </w:pPr>
            <w:r w:rsidRPr="005F2623">
              <w:rPr>
                <w:rFonts w:ascii="Times New Roman" w:eastAsia="Calibri" w:hAnsi="Times New Roman"/>
                <w:b/>
                <w:bCs/>
                <w:snapToGrid/>
                <w:color w:val="000000"/>
                <w:sz w:val="28"/>
                <w:szCs w:val="28"/>
              </w:rPr>
              <w:t>IRS General Limits – NOT Individualized Limits</w:t>
            </w:r>
          </w:p>
        </w:tc>
        <w:tc>
          <w:tcPr>
            <w:tcW w:w="1818" w:type="dxa"/>
            <w:shd w:val="clear" w:color="auto" w:fill="auto"/>
            <w:vAlign w:val="center"/>
          </w:tcPr>
          <w:p w:rsidR="005F2623" w:rsidRPr="005F2623" w:rsidRDefault="00177302" w:rsidP="0064194C">
            <w:pPr>
              <w:widowControl/>
              <w:spacing w:before="40" w:after="40"/>
              <w:jc w:val="center"/>
              <w:rPr>
                <w:rFonts w:ascii="Times New Roman" w:eastAsia="Calibri" w:hAnsi="Times New Roman"/>
                <w:b/>
                <w:bCs/>
                <w:snapToGrid/>
                <w:color w:val="000000"/>
                <w:sz w:val="28"/>
                <w:szCs w:val="28"/>
              </w:rPr>
            </w:pPr>
            <w:r>
              <w:rPr>
                <w:rFonts w:ascii="Times New Roman" w:eastAsia="Calibri" w:hAnsi="Times New Roman"/>
                <w:b/>
                <w:bCs/>
                <w:snapToGrid/>
                <w:color w:val="000000"/>
                <w:sz w:val="28"/>
                <w:szCs w:val="28"/>
              </w:rPr>
              <w:t>2020</w:t>
            </w:r>
          </w:p>
        </w:tc>
      </w:tr>
      <w:tr w:rsidR="005F2623" w:rsidRPr="005F2623" w:rsidTr="0064194C">
        <w:tc>
          <w:tcPr>
            <w:tcW w:w="775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r w:rsidRPr="005F2623">
              <w:rPr>
                <w:rFonts w:ascii="Times New Roman" w:eastAsia="Calibri" w:hAnsi="Times New Roman"/>
                <w:b/>
                <w:bCs/>
                <w:snapToGrid/>
                <w:sz w:val="22"/>
                <w:szCs w:val="24"/>
              </w:rPr>
              <w:t>401(k)/403(b)</w:t>
            </w:r>
            <w:r w:rsidR="00F16FEB">
              <w:rPr>
                <w:rFonts w:ascii="Times New Roman" w:eastAsia="Calibri" w:hAnsi="Times New Roman"/>
                <w:b/>
                <w:bCs/>
                <w:snapToGrid/>
                <w:sz w:val="22"/>
                <w:szCs w:val="24"/>
              </w:rPr>
              <w:t>/Thrift Savings Plan</w:t>
            </w:r>
            <w:r w:rsidRPr="005F2623">
              <w:rPr>
                <w:rFonts w:ascii="Times New Roman" w:eastAsia="Calibri" w:hAnsi="Times New Roman"/>
                <w:b/>
                <w:bCs/>
                <w:snapToGrid/>
                <w:sz w:val="22"/>
                <w:szCs w:val="24"/>
              </w:rPr>
              <w:t xml:space="preserve"> Deferral Limit</w:t>
            </w:r>
          </w:p>
        </w:tc>
        <w:tc>
          <w:tcPr>
            <w:tcW w:w="181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2"/>
                <w:szCs w:val="22"/>
              </w:rPr>
            </w:pPr>
            <w:r w:rsidRPr="005F2623">
              <w:rPr>
                <w:rFonts w:ascii="Times New Roman" w:eastAsia="Calibri" w:hAnsi="Times New Roman"/>
                <w:snapToGrid/>
                <w:color w:val="000000"/>
                <w:sz w:val="22"/>
                <w:szCs w:val="22"/>
              </w:rPr>
              <w:t>The limitation on cumulative elective deferrals to a 401(k) and/or a 403(b) tax deferred annuity plan(s) in a tax year as coordinated under IRC Section 402(g)(1)</w:t>
            </w:r>
          </w:p>
        </w:tc>
        <w:tc>
          <w:tcPr>
            <w:tcW w:w="1818" w:type="dxa"/>
            <w:shd w:val="clear" w:color="auto" w:fill="auto"/>
            <w:vAlign w:val="center"/>
          </w:tcPr>
          <w:p w:rsidR="005F2623" w:rsidRPr="005F2623" w:rsidRDefault="00521192" w:rsidP="00F16FEB">
            <w:pPr>
              <w:widowControl/>
              <w:spacing w:before="40" w:after="40"/>
              <w:jc w:val="center"/>
              <w:rPr>
                <w:rFonts w:ascii="Times New Roman" w:eastAsia="Calibri" w:hAnsi="Times New Roman"/>
                <w:snapToGrid/>
                <w:color w:val="000000"/>
                <w:sz w:val="40"/>
                <w:szCs w:val="40"/>
              </w:rPr>
            </w:pPr>
            <w:r>
              <w:rPr>
                <w:rFonts w:ascii="Times New Roman" w:eastAsia="Calibri" w:hAnsi="Times New Roman"/>
                <w:snapToGrid/>
                <w:color w:val="000000"/>
                <w:sz w:val="40"/>
                <w:szCs w:val="40"/>
              </w:rPr>
              <w:t>$19</w:t>
            </w:r>
            <w:r w:rsidR="005F2623" w:rsidRPr="005F2623">
              <w:rPr>
                <w:rFonts w:ascii="Times New Roman" w:eastAsia="Calibri" w:hAnsi="Times New Roman"/>
                <w:snapToGrid/>
                <w:color w:val="000000"/>
                <w:sz w:val="40"/>
                <w:szCs w:val="40"/>
              </w:rPr>
              <w:t>,</w:t>
            </w:r>
            <w:r w:rsidR="00177302">
              <w:rPr>
                <w:rFonts w:ascii="Times New Roman" w:eastAsia="Calibri" w:hAnsi="Times New Roman"/>
                <w:snapToGrid/>
                <w:color w:val="000000"/>
                <w:sz w:val="40"/>
                <w:szCs w:val="40"/>
              </w:rPr>
              <w:t>5</w:t>
            </w:r>
            <w:r w:rsidR="005F2623" w:rsidRPr="005F2623">
              <w:rPr>
                <w:rFonts w:ascii="Times New Roman" w:eastAsia="Calibri" w:hAnsi="Times New Roman"/>
                <w:snapToGrid/>
                <w:color w:val="000000"/>
                <w:sz w:val="40"/>
                <w:szCs w:val="40"/>
              </w:rPr>
              <w:t xml:space="preserve">00 </w:t>
            </w:r>
          </w:p>
        </w:tc>
      </w:tr>
      <w:tr w:rsidR="005F2623" w:rsidRPr="005F2623" w:rsidTr="0064194C">
        <w:tc>
          <w:tcPr>
            <w:tcW w:w="775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r w:rsidRPr="005F2623">
              <w:rPr>
                <w:rFonts w:ascii="Times New Roman" w:eastAsia="Calibri" w:hAnsi="Times New Roman"/>
                <w:b/>
                <w:bCs/>
                <w:snapToGrid/>
                <w:sz w:val="22"/>
                <w:szCs w:val="24"/>
              </w:rPr>
              <w:t>457 Deferral Limit</w:t>
            </w:r>
          </w:p>
        </w:tc>
        <w:tc>
          <w:tcPr>
            <w:tcW w:w="181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2"/>
                <w:szCs w:val="22"/>
              </w:rPr>
            </w:pPr>
            <w:r w:rsidRPr="005F2623">
              <w:rPr>
                <w:rFonts w:ascii="Times New Roman" w:eastAsia="Calibri" w:hAnsi="Times New Roman"/>
                <w:snapToGrid/>
                <w:color w:val="000000"/>
                <w:sz w:val="22"/>
                <w:szCs w:val="22"/>
              </w:rPr>
              <w:t>The limitation on deferrals to 457 plans under IRC Section 457(e)(15)</w:t>
            </w:r>
          </w:p>
        </w:tc>
        <w:tc>
          <w:tcPr>
            <w:tcW w:w="1818" w:type="dxa"/>
            <w:shd w:val="clear" w:color="auto" w:fill="auto"/>
            <w:vAlign w:val="center"/>
          </w:tcPr>
          <w:p w:rsidR="005F2623" w:rsidRPr="005F2623" w:rsidRDefault="005F2623" w:rsidP="00AE126A">
            <w:pPr>
              <w:widowControl/>
              <w:spacing w:before="40" w:after="40"/>
              <w:jc w:val="center"/>
              <w:rPr>
                <w:rFonts w:ascii="Times New Roman" w:eastAsia="Calibri" w:hAnsi="Times New Roman"/>
                <w:snapToGrid/>
                <w:color w:val="000000"/>
                <w:sz w:val="40"/>
                <w:szCs w:val="40"/>
              </w:rPr>
            </w:pPr>
            <w:r w:rsidRPr="005F2623">
              <w:rPr>
                <w:rFonts w:ascii="Times New Roman" w:eastAsia="Calibri" w:hAnsi="Times New Roman"/>
                <w:snapToGrid/>
                <w:color w:val="000000"/>
                <w:sz w:val="40"/>
                <w:szCs w:val="40"/>
              </w:rPr>
              <w:t>$1</w:t>
            </w:r>
            <w:r w:rsidR="00521192">
              <w:rPr>
                <w:rFonts w:ascii="Times New Roman" w:eastAsia="Calibri" w:hAnsi="Times New Roman"/>
                <w:snapToGrid/>
                <w:color w:val="000000"/>
                <w:sz w:val="40"/>
                <w:szCs w:val="40"/>
              </w:rPr>
              <w:t>9</w:t>
            </w:r>
            <w:r w:rsidRPr="005F2623">
              <w:rPr>
                <w:rFonts w:ascii="Times New Roman" w:eastAsia="Calibri" w:hAnsi="Times New Roman"/>
                <w:snapToGrid/>
                <w:color w:val="000000"/>
                <w:sz w:val="40"/>
                <w:szCs w:val="40"/>
              </w:rPr>
              <w:t>,</w:t>
            </w:r>
            <w:r w:rsidR="00177302">
              <w:rPr>
                <w:rFonts w:ascii="Times New Roman" w:eastAsia="Calibri" w:hAnsi="Times New Roman"/>
                <w:snapToGrid/>
                <w:color w:val="000000"/>
                <w:sz w:val="40"/>
                <w:szCs w:val="40"/>
              </w:rPr>
              <w:t>5</w:t>
            </w:r>
            <w:r w:rsidRPr="005F2623">
              <w:rPr>
                <w:rFonts w:ascii="Times New Roman" w:eastAsia="Calibri" w:hAnsi="Times New Roman"/>
                <w:snapToGrid/>
                <w:color w:val="000000"/>
                <w:sz w:val="40"/>
                <w:szCs w:val="40"/>
              </w:rPr>
              <w:t xml:space="preserve">00 </w:t>
            </w:r>
          </w:p>
        </w:tc>
      </w:tr>
      <w:tr w:rsidR="005F2623" w:rsidRPr="005F2623" w:rsidTr="0064194C">
        <w:tc>
          <w:tcPr>
            <w:tcW w:w="775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r w:rsidRPr="005F2623">
              <w:rPr>
                <w:rFonts w:ascii="Times New Roman" w:eastAsia="Calibri" w:hAnsi="Times New Roman"/>
                <w:b/>
                <w:bCs/>
                <w:snapToGrid/>
                <w:sz w:val="22"/>
                <w:szCs w:val="24"/>
              </w:rPr>
              <w:t>403(b) Catch-up Limit</w:t>
            </w:r>
          </w:p>
        </w:tc>
        <w:tc>
          <w:tcPr>
            <w:tcW w:w="181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2"/>
                <w:szCs w:val="22"/>
              </w:rPr>
            </w:pPr>
            <w:r w:rsidRPr="005F2623">
              <w:rPr>
                <w:rFonts w:ascii="Times New Roman" w:eastAsia="Calibri" w:hAnsi="Times New Roman"/>
                <w:snapToGrid/>
                <w:color w:val="000000"/>
                <w:sz w:val="22"/>
                <w:szCs w:val="22"/>
              </w:rPr>
              <w:t xml:space="preserve">The special catch-up election for employees participating in a 403(b) tax deferred annuity who have had at least 15 years of service with an </w:t>
            </w:r>
            <w:r w:rsidRPr="005F2623">
              <w:rPr>
                <w:rFonts w:ascii="Times New Roman" w:eastAsia="Calibri" w:hAnsi="Times New Roman"/>
                <w:b/>
                <w:bCs/>
                <w:snapToGrid/>
                <w:color w:val="000000"/>
                <w:sz w:val="22"/>
                <w:szCs w:val="22"/>
              </w:rPr>
              <w:t>educational organization</w:t>
            </w:r>
            <w:r w:rsidRPr="005F2623">
              <w:rPr>
                <w:rFonts w:ascii="Times New Roman" w:eastAsia="Calibri" w:hAnsi="Times New Roman"/>
                <w:snapToGrid/>
                <w:color w:val="000000"/>
                <w:sz w:val="22"/>
                <w:szCs w:val="22"/>
              </w:rPr>
              <w:t>, hospital, home health agency, health and welfare service agency, church or convention or association of churches.</w:t>
            </w:r>
            <w:r w:rsidRPr="005F2623">
              <w:rPr>
                <w:rFonts w:ascii="Times New Roman" w:eastAsia="Calibri" w:hAnsi="Times New Roman"/>
                <w:snapToGrid/>
                <w:color w:val="000000"/>
                <w:sz w:val="22"/>
                <w:szCs w:val="22"/>
              </w:rPr>
              <w:br/>
            </w:r>
            <w:r w:rsidRPr="005F2623">
              <w:rPr>
                <w:rFonts w:ascii="Times New Roman" w:eastAsia="Calibri" w:hAnsi="Times New Roman"/>
                <w:i/>
                <w:iCs/>
                <w:snapToGrid/>
                <w:color w:val="000000"/>
                <w:sz w:val="22"/>
                <w:szCs w:val="22"/>
              </w:rPr>
              <w:t xml:space="preserve">Note: This additional 403(b) catch-up of up to $3,000 per year cannot exceed $15,000 cumulatively over the lifetime of the 403(b) participant. </w:t>
            </w:r>
          </w:p>
        </w:tc>
        <w:tc>
          <w:tcPr>
            <w:tcW w:w="1818" w:type="dxa"/>
            <w:shd w:val="clear" w:color="auto" w:fill="auto"/>
            <w:vAlign w:val="center"/>
          </w:tcPr>
          <w:p w:rsidR="005F2623" w:rsidRPr="005F2623" w:rsidRDefault="00521192" w:rsidP="009F382E">
            <w:pPr>
              <w:widowControl/>
              <w:spacing w:before="40" w:after="40"/>
              <w:jc w:val="center"/>
              <w:rPr>
                <w:rFonts w:ascii="Times New Roman" w:eastAsia="Calibri" w:hAnsi="Times New Roman"/>
                <w:snapToGrid/>
                <w:color w:val="000000"/>
                <w:sz w:val="40"/>
                <w:szCs w:val="40"/>
              </w:rPr>
            </w:pPr>
            <w:r>
              <w:rPr>
                <w:rFonts w:ascii="Times New Roman" w:eastAsia="Calibri" w:hAnsi="Times New Roman"/>
                <w:snapToGrid/>
                <w:color w:val="000000"/>
                <w:sz w:val="40"/>
                <w:szCs w:val="40"/>
              </w:rPr>
              <w:t>$22</w:t>
            </w:r>
            <w:r w:rsidR="005F2623" w:rsidRPr="005F2623">
              <w:rPr>
                <w:rFonts w:ascii="Times New Roman" w:eastAsia="Calibri" w:hAnsi="Times New Roman"/>
                <w:snapToGrid/>
                <w:color w:val="000000"/>
                <w:sz w:val="40"/>
                <w:szCs w:val="40"/>
              </w:rPr>
              <w:t>,</w:t>
            </w:r>
            <w:r w:rsidR="00B109C7">
              <w:rPr>
                <w:rFonts w:ascii="Times New Roman" w:eastAsia="Calibri" w:hAnsi="Times New Roman"/>
                <w:snapToGrid/>
                <w:color w:val="000000"/>
                <w:sz w:val="40"/>
                <w:szCs w:val="40"/>
              </w:rPr>
              <w:t>5</w:t>
            </w:r>
            <w:r w:rsidR="005F2623" w:rsidRPr="005F2623">
              <w:rPr>
                <w:rFonts w:ascii="Times New Roman" w:eastAsia="Calibri" w:hAnsi="Times New Roman"/>
                <w:snapToGrid/>
                <w:color w:val="000000"/>
                <w:sz w:val="40"/>
                <w:szCs w:val="40"/>
              </w:rPr>
              <w:t xml:space="preserve">00 </w:t>
            </w:r>
          </w:p>
        </w:tc>
      </w:tr>
      <w:tr w:rsidR="005F2623" w:rsidRPr="005F2623" w:rsidTr="0064194C">
        <w:tc>
          <w:tcPr>
            <w:tcW w:w="775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r w:rsidRPr="005F2623">
              <w:rPr>
                <w:rFonts w:ascii="Times New Roman" w:eastAsia="Calibri" w:hAnsi="Times New Roman"/>
                <w:b/>
                <w:bCs/>
                <w:snapToGrid/>
                <w:sz w:val="22"/>
                <w:szCs w:val="24"/>
              </w:rPr>
              <w:t>457 Catch-up Limit</w:t>
            </w:r>
          </w:p>
        </w:tc>
        <w:tc>
          <w:tcPr>
            <w:tcW w:w="1818" w:type="dxa"/>
            <w:shd w:val="clear" w:color="auto" w:fill="auto"/>
          </w:tcPr>
          <w:p w:rsidR="005F2623" w:rsidRPr="005F2623" w:rsidRDefault="005F2623" w:rsidP="0064194C">
            <w:pPr>
              <w:widowControl/>
              <w:spacing w:before="40" w:after="40"/>
              <w:rPr>
                <w:rFonts w:ascii="Times New Roman" w:eastAsia="Calibri" w:hAnsi="Times New Roman"/>
                <w:snapToGrid/>
                <w:sz w:val="22"/>
                <w:szCs w:val="22"/>
              </w:rPr>
            </w:pP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2"/>
                <w:szCs w:val="22"/>
              </w:rPr>
            </w:pPr>
            <w:r w:rsidRPr="005F2623">
              <w:rPr>
                <w:rFonts w:ascii="Times New Roman" w:eastAsia="Calibri" w:hAnsi="Times New Roman"/>
                <w:snapToGrid/>
                <w:color w:val="000000"/>
                <w:sz w:val="22"/>
                <w:szCs w:val="22"/>
              </w:rPr>
              <w:t xml:space="preserve">The special catch-up election for employees participating in an eligible 457 deferred compensation who have elected the special catch-up available in the three years prior to the year of normal retirement age. </w:t>
            </w:r>
            <w:r w:rsidRPr="005F2623">
              <w:rPr>
                <w:rFonts w:ascii="Times New Roman" w:eastAsia="Calibri" w:hAnsi="Times New Roman"/>
                <w:i/>
                <w:iCs/>
                <w:snapToGrid/>
                <w:color w:val="000000"/>
                <w:sz w:val="22"/>
                <w:szCs w:val="22"/>
              </w:rPr>
              <w:t>Note: The participant in a governmental 457(b) plan may make catch-up contributions in a year equal to the greater of (a) the amount permitted under the age 50+ catch-up rule or (b) the amount permitted under the normal retirement age catch-up rule.</w:t>
            </w:r>
          </w:p>
        </w:tc>
        <w:tc>
          <w:tcPr>
            <w:tcW w:w="1818" w:type="dxa"/>
            <w:shd w:val="clear" w:color="auto" w:fill="auto"/>
            <w:vAlign w:val="center"/>
          </w:tcPr>
          <w:p w:rsidR="005F2623" w:rsidRPr="005F2623" w:rsidRDefault="005F2623" w:rsidP="009F382E">
            <w:pPr>
              <w:widowControl/>
              <w:spacing w:before="40" w:after="40"/>
              <w:jc w:val="center"/>
              <w:rPr>
                <w:rFonts w:ascii="Times New Roman" w:eastAsia="Calibri" w:hAnsi="Times New Roman"/>
                <w:snapToGrid/>
                <w:color w:val="000000"/>
                <w:sz w:val="40"/>
                <w:szCs w:val="40"/>
              </w:rPr>
            </w:pPr>
            <w:r w:rsidRPr="005F2623">
              <w:rPr>
                <w:rFonts w:ascii="Times New Roman" w:eastAsia="Calibri" w:hAnsi="Times New Roman"/>
                <w:snapToGrid/>
                <w:color w:val="000000"/>
                <w:sz w:val="40"/>
                <w:szCs w:val="40"/>
              </w:rPr>
              <w:t>$3</w:t>
            </w:r>
            <w:r w:rsidR="00B109C7">
              <w:rPr>
                <w:rFonts w:ascii="Times New Roman" w:eastAsia="Calibri" w:hAnsi="Times New Roman"/>
                <w:snapToGrid/>
                <w:color w:val="000000"/>
                <w:sz w:val="40"/>
                <w:szCs w:val="40"/>
              </w:rPr>
              <w:t>9</w:t>
            </w:r>
            <w:r w:rsidR="00521192">
              <w:rPr>
                <w:rFonts w:ascii="Times New Roman" w:eastAsia="Calibri" w:hAnsi="Times New Roman"/>
                <w:snapToGrid/>
                <w:color w:val="000000"/>
                <w:sz w:val="40"/>
                <w:szCs w:val="40"/>
              </w:rPr>
              <w:t>,0</w:t>
            </w:r>
            <w:r w:rsidRPr="005F2623">
              <w:rPr>
                <w:rFonts w:ascii="Times New Roman" w:eastAsia="Calibri" w:hAnsi="Times New Roman"/>
                <w:snapToGrid/>
                <w:color w:val="000000"/>
                <w:sz w:val="40"/>
                <w:szCs w:val="40"/>
              </w:rPr>
              <w:t xml:space="preserve">00 </w:t>
            </w: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i/>
                <w:iCs/>
                <w:snapToGrid/>
                <w:color w:val="000000"/>
                <w:sz w:val="22"/>
                <w:szCs w:val="22"/>
              </w:rPr>
            </w:pPr>
            <w:r w:rsidRPr="005F2623">
              <w:rPr>
                <w:rFonts w:ascii="Times New Roman" w:eastAsia="Calibri" w:hAnsi="Times New Roman"/>
                <w:b/>
                <w:bCs/>
                <w:snapToGrid/>
                <w:sz w:val="22"/>
                <w:szCs w:val="24"/>
              </w:rPr>
              <w:t>Age 50+ Catch-up Limit</w:t>
            </w:r>
          </w:p>
        </w:tc>
        <w:tc>
          <w:tcPr>
            <w:tcW w:w="181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Cs w:val="22"/>
              </w:rPr>
            </w:pPr>
          </w:p>
        </w:tc>
      </w:tr>
      <w:tr w:rsidR="005F2623" w:rsidRPr="005F2623" w:rsidTr="0064194C">
        <w:tc>
          <w:tcPr>
            <w:tcW w:w="7758" w:type="dxa"/>
            <w:shd w:val="clear" w:color="auto" w:fill="auto"/>
            <w:vAlign w:val="center"/>
          </w:tcPr>
          <w:p w:rsidR="005F2623" w:rsidRPr="005F2623" w:rsidRDefault="005F2623" w:rsidP="0064194C">
            <w:pPr>
              <w:widowControl/>
              <w:spacing w:before="40" w:after="40"/>
              <w:rPr>
                <w:rFonts w:ascii="Times New Roman" w:eastAsia="Calibri" w:hAnsi="Times New Roman"/>
                <w:snapToGrid/>
                <w:color w:val="000000"/>
                <w:sz w:val="22"/>
                <w:szCs w:val="22"/>
              </w:rPr>
            </w:pPr>
            <w:r w:rsidRPr="005F2623">
              <w:rPr>
                <w:rFonts w:ascii="Times New Roman" w:eastAsia="Calibri" w:hAnsi="Times New Roman"/>
                <w:snapToGrid/>
                <w:color w:val="000000"/>
                <w:sz w:val="22"/>
                <w:szCs w:val="22"/>
              </w:rPr>
              <w:t>The special catch-up available under Internal Revenue Code (IRC) Section 414(v) for individua</w:t>
            </w:r>
            <w:r w:rsidR="00750440">
              <w:rPr>
                <w:rFonts w:ascii="Times New Roman" w:eastAsia="Calibri" w:hAnsi="Times New Roman"/>
                <w:snapToGrid/>
                <w:color w:val="000000"/>
                <w:sz w:val="22"/>
                <w:szCs w:val="22"/>
              </w:rPr>
              <w:t xml:space="preserve">ls at least 50 years old in </w:t>
            </w:r>
            <w:r w:rsidR="00406D89">
              <w:rPr>
                <w:rFonts w:ascii="Times New Roman" w:eastAsia="Calibri" w:hAnsi="Times New Roman"/>
                <w:snapToGrid/>
                <w:color w:val="000000"/>
                <w:sz w:val="22"/>
                <w:szCs w:val="22"/>
              </w:rPr>
              <w:t>2017</w:t>
            </w:r>
            <w:r w:rsidRPr="005F2623">
              <w:rPr>
                <w:rFonts w:ascii="Times New Roman" w:eastAsia="Calibri" w:hAnsi="Times New Roman"/>
                <w:snapToGrid/>
                <w:color w:val="000000"/>
                <w:sz w:val="22"/>
                <w:szCs w:val="22"/>
              </w:rPr>
              <w:t xml:space="preserve"> and make eligible pre-tax contributions to 401(k), 403(b), and governmental 457 plans</w:t>
            </w:r>
          </w:p>
        </w:tc>
        <w:tc>
          <w:tcPr>
            <w:tcW w:w="1818" w:type="dxa"/>
            <w:shd w:val="clear" w:color="auto" w:fill="auto"/>
            <w:vAlign w:val="center"/>
          </w:tcPr>
          <w:p w:rsidR="005F2623" w:rsidRPr="005F2623" w:rsidRDefault="00177302" w:rsidP="0064194C">
            <w:pPr>
              <w:widowControl/>
              <w:spacing w:before="40" w:after="40"/>
              <w:jc w:val="center"/>
              <w:rPr>
                <w:rFonts w:ascii="Times New Roman" w:eastAsia="Calibri" w:hAnsi="Times New Roman"/>
                <w:snapToGrid/>
                <w:color w:val="000000"/>
                <w:sz w:val="40"/>
                <w:szCs w:val="40"/>
              </w:rPr>
            </w:pPr>
            <w:r>
              <w:rPr>
                <w:rFonts w:ascii="Times New Roman" w:eastAsia="Calibri" w:hAnsi="Times New Roman"/>
                <w:snapToGrid/>
                <w:color w:val="000000"/>
                <w:sz w:val="40"/>
                <w:szCs w:val="40"/>
              </w:rPr>
              <w:t>$6,5</w:t>
            </w:r>
            <w:r w:rsidR="005F2623" w:rsidRPr="005F2623">
              <w:rPr>
                <w:rFonts w:ascii="Times New Roman" w:eastAsia="Calibri" w:hAnsi="Times New Roman"/>
                <w:snapToGrid/>
                <w:color w:val="000000"/>
                <w:sz w:val="40"/>
                <w:szCs w:val="40"/>
              </w:rPr>
              <w:t xml:space="preserve">00 </w:t>
            </w:r>
          </w:p>
        </w:tc>
      </w:tr>
    </w:tbl>
    <w:p w:rsidR="00CB1A48" w:rsidRDefault="005F2623">
      <w:pPr>
        <w:rPr>
          <w:rFonts w:ascii="Calibri" w:eastAsia="Calibri" w:hAnsi="Calibri"/>
          <w:b/>
          <w:snapToGrid/>
          <w:sz w:val="22"/>
          <w:szCs w:val="22"/>
        </w:rPr>
      </w:pPr>
      <w:r w:rsidRPr="005F2623">
        <w:rPr>
          <w:rFonts w:ascii="Times New Roman" w:eastAsia="Calibri" w:hAnsi="Times New Roman"/>
          <w:snapToGrid/>
          <w:sz w:val="22"/>
          <w:szCs w:val="22"/>
        </w:rPr>
        <w:br/>
      </w:r>
      <w:r w:rsidRPr="005F2623">
        <w:rPr>
          <w:rFonts w:ascii="Times New Roman" w:eastAsia="Calibri" w:hAnsi="Times New Roman"/>
          <w:b/>
          <w:snapToGrid/>
          <w:sz w:val="22"/>
          <w:szCs w:val="22"/>
        </w:rPr>
        <w:t>This material was created to provide information. It is not intended to provide specific legal, tax or other professional advice. The services of an appropriate profession</w:t>
      </w:r>
      <w:r w:rsidR="002D260C">
        <w:rPr>
          <w:rFonts w:ascii="Times New Roman" w:eastAsia="Calibri" w:hAnsi="Times New Roman"/>
          <w:b/>
          <w:snapToGrid/>
          <w:sz w:val="22"/>
          <w:szCs w:val="22"/>
        </w:rPr>
        <w:t>al should be obtained in regard</w:t>
      </w:r>
      <w:r w:rsidRPr="005F2623">
        <w:rPr>
          <w:rFonts w:ascii="Times New Roman" w:eastAsia="Calibri" w:hAnsi="Times New Roman"/>
          <w:b/>
          <w:snapToGrid/>
          <w:sz w:val="22"/>
          <w:szCs w:val="22"/>
        </w:rPr>
        <w:t xml:space="preserve"> to your individual situation.</w:t>
      </w:r>
      <w:r w:rsidRPr="005F2623">
        <w:rPr>
          <w:rFonts w:ascii="Times New Roman" w:eastAsia="Calibri" w:hAnsi="Times New Roman"/>
          <w:b/>
          <w:snapToGrid/>
          <w:sz w:val="22"/>
          <w:szCs w:val="22"/>
        </w:rPr>
        <w:br/>
      </w:r>
      <w:r w:rsidRPr="00AA1488">
        <w:rPr>
          <w:rFonts w:ascii="Calibri" w:eastAsia="Calibri" w:hAnsi="Calibri"/>
          <w:b/>
          <w:snapToGrid/>
          <w:sz w:val="22"/>
          <w:szCs w:val="22"/>
        </w:rPr>
        <w:t xml:space="preserve">                                                                                                                                                                      </w:t>
      </w:r>
    </w:p>
    <w:p w:rsidR="005F2623" w:rsidRPr="005F2623" w:rsidRDefault="005F2623" w:rsidP="005F2623">
      <w:pPr>
        <w:ind w:left="6480" w:firstLine="720"/>
        <w:rPr>
          <w:rFonts w:ascii="Times New Roman" w:hAnsi="Times New Roman"/>
        </w:rPr>
      </w:pPr>
      <w:r>
        <w:rPr>
          <w:rFonts w:ascii="Times New Roman" w:eastAsia="Calibri" w:hAnsi="Times New Roman"/>
          <w:snapToGrid/>
        </w:rPr>
        <w:t xml:space="preserve">     </w:t>
      </w:r>
      <w:r w:rsidR="00521192">
        <w:rPr>
          <w:rFonts w:ascii="Times New Roman" w:eastAsia="Calibri" w:hAnsi="Times New Roman"/>
          <w:snapToGrid/>
        </w:rPr>
        <w:t>Nov</w:t>
      </w:r>
      <w:r w:rsidR="00BB0CCA">
        <w:rPr>
          <w:rFonts w:ascii="Times New Roman" w:eastAsia="Calibri" w:hAnsi="Times New Roman"/>
          <w:snapToGrid/>
        </w:rPr>
        <w:t xml:space="preserve">ember </w:t>
      </w:r>
      <w:r w:rsidR="00B109C7">
        <w:rPr>
          <w:rFonts w:ascii="Times New Roman" w:eastAsia="Calibri" w:hAnsi="Times New Roman"/>
          <w:snapToGrid/>
        </w:rPr>
        <w:t>2019</w:t>
      </w:r>
      <w:bookmarkStart w:id="0" w:name="_GoBack"/>
      <w:bookmarkEnd w:id="0"/>
    </w:p>
    <w:sectPr w:rsidR="005F2623" w:rsidRPr="005F2623" w:rsidSect="005F2623">
      <w:pgSz w:w="12240" w:h="15840"/>
      <w:pgMar w:top="1440" w:right="1728" w:bottom="1440" w:left="1728"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D2" w:rsidRDefault="003327D2" w:rsidP="00EC7FD1">
      <w:r>
        <w:separator/>
      </w:r>
    </w:p>
  </w:endnote>
  <w:endnote w:type="continuationSeparator" w:id="0">
    <w:p w:rsidR="003327D2" w:rsidRDefault="003327D2" w:rsidP="00EC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D2" w:rsidRDefault="003327D2" w:rsidP="00EC7FD1">
      <w:r>
        <w:separator/>
      </w:r>
    </w:p>
  </w:footnote>
  <w:footnote w:type="continuationSeparator" w:id="0">
    <w:p w:rsidR="003327D2" w:rsidRDefault="003327D2" w:rsidP="00EC7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23"/>
    <w:rsid w:val="00024771"/>
    <w:rsid w:val="00177302"/>
    <w:rsid w:val="002B1D86"/>
    <w:rsid w:val="002D260C"/>
    <w:rsid w:val="003327D2"/>
    <w:rsid w:val="00406D89"/>
    <w:rsid w:val="00467EB3"/>
    <w:rsid w:val="00521192"/>
    <w:rsid w:val="005F2623"/>
    <w:rsid w:val="00660D3B"/>
    <w:rsid w:val="00750440"/>
    <w:rsid w:val="008C00AE"/>
    <w:rsid w:val="00957AD6"/>
    <w:rsid w:val="009F382E"/>
    <w:rsid w:val="00AE126A"/>
    <w:rsid w:val="00B109C7"/>
    <w:rsid w:val="00BB0CCA"/>
    <w:rsid w:val="00BC0149"/>
    <w:rsid w:val="00CA552A"/>
    <w:rsid w:val="00CB1A48"/>
    <w:rsid w:val="00CB74EB"/>
    <w:rsid w:val="00D92F9A"/>
    <w:rsid w:val="00EC7FD1"/>
    <w:rsid w:val="00F1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5D86C-3077-4346-979A-3390AAE0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2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FD1"/>
    <w:pPr>
      <w:tabs>
        <w:tab w:val="center" w:pos="4680"/>
        <w:tab w:val="right" w:pos="9360"/>
      </w:tabs>
    </w:pPr>
  </w:style>
  <w:style w:type="character" w:customStyle="1" w:styleId="HeaderChar">
    <w:name w:val="Header Char"/>
    <w:basedOn w:val="DefaultParagraphFont"/>
    <w:link w:val="Header"/>
    <w:uiPriority w:val="99"/>
    <w:rsid w:val="00EC7FD1"/>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EC7FD1"/>
    <w:pPr>
      <w:tabs>
        <w:tab w:val="center" w:pos="4680"/>
        <w:tab w:val="right" w:pos="9360"/>
      </w:tabs>
    </w:pPr>
  </w:style>
  <w:style w:type="character" w:customStyle="1" w:styleId="FooterChar">
    <w:name w:val="Footer Char"/>
    <w:basedOn w:val="DefaultParagraphFont"/>
    <w:link w:val="Footer"/>
    <w:uiPriority w:val="99"/>
    <w:rsid w:val="00EC7FD1"/>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2B1D86"/>
    <w:rPr>
      <w:color w:val="0000FF" w:themeColor="hyperlink"/>
      <w:u w:val="single"/>
    </w:rPr>
  </w:style>
  <w:style w:type="paragraph" w:styleId="BalloonText">
    <w:name w:val="Balloon Text"/>
    <w:basedOn w:val="Normal"/>
    <w:link w:val="BalloonTextChar"/>
    <w:uiPriority w:val="99"/>
    <w:semiHidden/>
    <w:unhideWhenUsed/>
    <w:rsid w:val="00CB7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E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tirement@tennesse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 Priscilla A</dc:creator>
  <cp:lastModifiedBy>Houston, Christian Nicole</cp:lastModifiedBy>
  <cp:revision>2</cp:revision>
  <cp:lastPrinted>2017-12-08T16:34:00Z</cp:lastPrinted>
  <dcterms:created xsi:type="dcterms:W3CDTF">2019-12-19T21:52:00Z</dcterms:created>
  <dcterms:modified xsi:type="dcterms:W3CDTF">2019-12-19T21:52:00Z</dcterms:modified>
</cp:coreProperties>
</file>